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FE" w:rsidRDefault="00A53CFE" w:rsidP="00A53CFE">
      <w:pPr>
        <w:pStyle w:val="Titel"/>
        <w:rPr>
          <w:rFonts w:eastAsia="Times New Roman"/>
        </w:rPr>
      </w:pPr>
      <w:bookmarkStart w:id="0" w:name="_GoBack"/>
      <w:bookmarkEnd w:id="0"/>
      <w:r>
        <w:rPr>
          <w:rFonts w:eastAsia="Times New Roman"/>
        </w:rPr>
        <w:t>Scalasca GCS Project Report</w:t>
      </w:r>
    </w:p>
    <w:p w:rsidR="00A53CFE" w:rsidRPr="00A53CFE" w:rsidRDefault="00A53CFE" w:rsidP="00A53CFE"/>
    <w:p w:rsidR="00094B4C" w:rsidRDefault="00094B4C" w:rsidP="0027449E">
      <w:pPr>
        <w:pStyle w:val="berschrift2"/>
        <w:rPr>
          <w:rFonts w:eastAsia="Times New Roman"/>
        </w:rPr>
      </w:pPr>
      <w:r w:rsidRPr="00094B4C">
        <w:rPr>
          <w:rFonts w:eastAsia="Times New Roman"/>
        </w:rPr>
        <w:t>Name/affiliation of principal investigator</w:t>
      </w:r>
    </w:p>
    <w:p w:rsidR="0027449E" w:rsidRPr="0027449E" w:rsidRDefault="0027449E" w:rsidP="0027449E">
      <w:pPr>
        <w:rPr>
          <w:lang w:val="de-DE"/>
        </w:rPr>
      </w:pPr>
      <w:r w:rsidRPr="0027449E">
        <w:rPr>
          <w:lang w:val="de-DE"/>
        </w:rPr>
        <w:t xml:space="preserve">Dr.-Ing. Bernd </w:t>
      </w:r>
      <w:r>
        <w:rPr>
          <w:lang w:val="de-DE"/>
        </w:rPr>
        <w:t>Mohr, JSC, Forschungszentrum Jü</w:t>
      </w:r>
      <w:r w:rsidRPr="0027449E">
        <w:rPr>
          <w:lang w:val="de-DE"/>
        </w:rPr>
        <w:t>lich GmbH</w:t>
      </w:r>
    </w:p>
    <w:p w:rsidR="00094B4C" w:rsidRDefault="00094B4C" w:rsidP="0027449E">
      <w:pPr>
        <w:pStyle w:val="berschrift2"/>
        <w:rPr>
          <w:rFonts w:eastAsia="Times New Roman"/>
        </w:rPr>
      </w:pPr>
      <w:r w:rsidRPr="00094B4C">
        <w:rPr>
          <w:rFonts w:eastAsia="Times New Roman"/>
        </w:rPr>
        <w:t>Name(s)/affiliation(s) of project team members</w:t>
      </w:r>
    </w:p>
    <w:p w:rsidR="0027449E" w:rsidRPr="0027449E" w:rsidRDefault="0027449E" w:rsidP="0027449E">
      <w:r w:rsidRPr="0027449E">
        <w:t>Christian Feld, JSC,</w:t>
      </w:r>
      <w:r>
        <w:t xml:space="preserve"> </w:t>
      </w:r>
      <w:proofErr w:type="spellStart"/>
      <w:r>
        <w:t>Forschungszentrum</w:t>
      </w:r>
      <w:proofErr w:type="spellEnd"/>
      <w:r>
        <w:t xml:space="preserve"> </w:t>
      </w:r>
      <w:proofErr w:type="spellStart"/>
      <w:r>
        <w:t>Jü</w:t>
      </w:r>
      <w:r w:rsidRPr="0027449E">
        <w:t>lich</w:t>
      </w:r>
      <w:proofErr w:type="spellEnd"/>
      <w:r w:rsidRPr="0027449E">
        <w:t xml:space="preserve"> GmbH</w:t>
      </w:r>
      <w:r w:rsidRPr="0027449E">
        <w:br/>
        <w:t xml:space="preserve">Dr. Markus </w:t>
      </w:r>
      <w:proofErr w:type="spellStart"/>
      <w:r w:rsidRPr="0027449E">
        <w:t>Geimer</w:t>
      </w:r>
      <w:proofErr w:type="spellEnd"/>
      <w:r w:rsidRPr="0027449E">
        <w:t xml:space="preserve">, JSC, </w:t>
      </w:r>
      <w:proofErr w:type="spellStart"/>
      <w:r w:rsidRPr="0027449E">
        <w:t>Forschungszentrum</w:t>
      </w:r>
      <w:proofErr w:type="spellEnd"/>
      <w:r w:rsidRPr="0027449E">
        <w:t xml:space="preserve"> </w:t>
      </w:r>
      <w:proofErr w:type="spellStart"/>
      <w:r w:rsidRPr="0027449E">
        <w:t>J</w:t>
      </w:r>
      <w:r>
        <w:t>ü</w:t>
      </w:r>
      <w:r w:rsidRPr="0027449E">
        <w:t>lich</w:t>
      </w:r>
      <w:proofErr w:type="spellEnd"/>
      <w:r w:rsidRPr="0027449E">
        <w:t xml:space="preserve"> GmbH</w:t>
      </w:r>
      <w:r w:rsidRPr="0027449E">
        <w:br/>
        <w:t>Michael Knobloch, JSC,</w:t>
      </w:r>
      <w:r>
        <w:t xml:space="preserve"> </w:t>
      </w:r>
      <w:proofErr w:type="spellStart"/>
      <w:r>
        <w:t>Forschungszentrum</w:t>
      </w:r>
      <w:proofErr w:type="spellEnd"/>
      <w:r>
        <w:t xml:space="preserve"> </w:t>
      </w:r>
      <w:proofErr w:type="spellStart"/>
      <w:r>
        <w:t>Jü</w:t>
      </w:r>
      <w:r w:rsidRPr="0027449E">
        <w:t>lich</w:t>
      </w:r>
      <w:proofErr w:type="spellEnd"/>
      <w:r w:rsidRPr="0027449E">
        <w:t xml:space="preserve"> GmbH</w:t>
      </w:r>
      <w:r w:rsidRPr="0027449E">
        <w:br/>
        <w:t xml:space="preserve">Dr. Pavel </w:t>
      </w:r>
      <w:proofErr w:type="spellStart"/>
      <w:r w:rsidRPr="0027449E">
        <w:t>Saviankou</w:t>
      </w:r>
      <w:proofErr w:type="spellEnd"/>
      <w:r w:rsidRPr="0027449E">
        <w:t>, JSC,</w:t>
      </w:r>
      <w:r>
        <w:t xml:space="preserve"> </w:t>
      </w:r>
      <w:proofErr w:type="spellStart"/>
      <w:r>
        <w:t>Forschungszentrum</w:t>
      </w:r>
      <w:proofErr w:type="spellEnd"/>
      <w:r>
        <w:t xml:space="preserve"> </w:t>
      </w:r>
      <w:proofErr w:type="spellStart"/>
      <w:r>
        <w:t>Jülich</w:t>
      </w:r>
      <w:proofErr w:type="spellEnd"/>
      <w:r>
        <w:t xml:space="preserve"> GmbH</w:t>
      </w:r>
      <w:r>
        <w:br/>
        <w:t xml:space="preserve">Marc </w:t>
      </w:r>
      <w:proofErr w:type="spellStart"/>
      <w:r>
        <w:t>Schlü</w:t>
      </w:r>
      <w:r w:rsidRPr="0027449E">
        <w:t>tter</w:t>
      </w:r>
      <w:proofErr w:type="spellEnd"/>
      <w:r w:rsidRPr="0027449E">
        <w:t>, JSC,</w:t>
      </w:r>
      <w:r>
        <w:t xml:space="preserve"> </w:t>
      </w:r>
      <w:proofErr w:type="spellStart"/>
      <w:r>
        <w:t>Forschungszentrum</w:t>
      </w:r>
      <w:proofErr w:type="spellEnd"/>
      <w:r>
        <w:t xml:space="preserve"> </w:t>
      </w:r>
      <w:proofErr w:type="spellStart"/>
      <w:r>
        <w:t>Jülich</w:t>
      </w:r>
      <w:proofErr w:type="spellEnd"/>
      <w:r>
        <w:t xml:space="preserve"> GmbH</w:t>
      </w:r>
      <w:r>
        <w:br/>
      </w:r>
      <w:proofErr w:type="spellStart"/>
      <w:r w:rsidRPr="0027449E">
        <w:t>Anke</w:t>
      </w:r>
      <w:proofErr w:type="spellEnd"/>
      <w:r w:rsidRPr="0027449E">
        <w:t xml:space="preserve"> Visser, JSC,</w:t>
      </w:r>
      <w:r>
        <w:t xml:space="preserve"> </w:t>
      </w:r>
      <w:proofErr w:type="spellStart"/>
      <w:r>
        <w:t>Forschungszentrum</w:t>
      </w:r>
      <w:proofErr w:type="spellEnd"/>
      <w:r>
        <w:t xml:space="preserve"> </w:t>
      </w:r>
      <w:proofErr w:type="spellStart"/>
      <w:r>
        <w:t>Jülich</w:t>
      </w:r>
      <w:proofErr w:type="spellEnd"/>
      <w:r>
        <w:t xml:space="preserve"> GmbH</w:t>
      </w:r>
      <w:r>
        <w:br/>
      </w:r>
      <w:r w:rsidRPr="0027449E">
        <w:t>Dr. Brian Wylie, JSC,</w:t>
      </w:r>
      <w:r>
        <w:t xml:space="preserve"> </w:t>
      </w:r>
      <w:proofErr w:type="spellStart"/>
      <w:r>
        <w:t>Forschungszentrum</w:t>
      </w:r>
      <w:proofErr w:type="spellEnd"/>
      <w:r>
        <w:t xml:space="preserve"> </w:t>
      </w:r>
      <w:proofErr w:type="spellStart"/>
      <w:r>
        <w:t>Jülich</w:t>
      </w:r>
      <w:proofErr w:type="spellEnd"/>
      <w:r>
        <w:t xml:space="preserve"> GmbH</w:t>
      </w:r>
      <w:r>
        <w:br/>
      </w:r>
      <w:r w:rsidRPr="0027449E">
        <w:t>Ilya Zh</w:t>
      </w:r>
      <w:r>
        <w:t xml:space="preserve">ukov, JSC, </w:t>
      </w:r>
      <w:proofErr w:type="spellStart"/>
      <w:r>
        <w:t>Forschungszentrum</w:t>
      </w:r>
      <w:proofErr w:type="spellEnd"/>
      <w:r>
        <w:t xml:space="preserve"> </w:t>
      </w:r>
      <w:proofErr w:type="spellStart"/>
      <w:r>
        <w:t>Jü</w:t>
      </w:r>
      <w:r w:rsidRPr="0027449E">
        <w:t>lich</w:t>
      </w:r>
      <w:proofErr w:type="spellEnd"/>
      <w:r w:rsidRPr="0027449E">
        <w:t xml:space="preserve"> GmbH</w:t>
      </w:r>
    </w:p>
    <w:p w:rsidR="00094B4C" w:rsidRDefault="00094B4C" w:rsidP="0027449E">
      <w:pPr>
        <w:pStyle w:val="berschrift2"/>
        <w:rPr>
          <w:rFonts w:eastAsia="Times New Roman"/>
        </w:rPr>
      </w:pPr>
      <w:r w:rsidRPr="00094B4C">
        <w:rPr>
          <w:rFonts w:eastAsia="Times New Roman"/>
        </w:rPr>
        <w:t>Project name + Project ID</w:t>
      </w:r>
    </w:p>
    <w:p w:rsidR="0027449E" w:rsidRPr="0027449E" w:rsidRDefault="0027449E" w:rsidP="0027449E">
      <w:r w:rsidRPr="0027449E">
        <w:t>Scalable Performance Analysis of Large-Scale Parallel Applications</w:t>
      </w:r>
      <w:r>
        <w:t xml:space="preserve"> (SCALASCA)</w:t>
      </w:r>
    </w:p>
    <w:p w:rsidR="00094B4C" w:rsidRDefault="00094B4C" w:rsidP="0027449E">
      <w:pPr>
        <w:pStyle w:val="berschrift2"/>
        <w:rPr>
          <w:rFonts w:eastAsia="Times New Roman"/>
        </w:rPr>
      </w:pPr>
      <w:r w:rsidRPr="00094B4C">
        <w:rPr>
          <w:rFonts w:eastAsia="Times New Roman"/>
        </w:rPr>
        <w:t xml:space="preserve">Which HPC </w:t>
      </w:r>
      <w:r w:rsidRPr="0027449E">
        <w:rPr>
          <w:rStyle w:val="berschrift2Zchn"/>
        </w:rPr>
        <w:t>system</w:t>
      </w:r>
      <w:r w:rsidRPr="00094B4C">
        <w:rPr>
          <w:rFonts w:eastAsia="Times New Roman"/>
        </w:rPr>
        <w:t xml:space="preserve"> served as computing platform?</w:t>
      </w:r>
    </w:p>
    <w:p w:rsidR="0027449E" w:rsidRDefault="0027449E" w:rsidP="0027449E">
      <w:r w:rsidRPr="0027449E">
        <w:t>JUWELS: Cluster &amp; Booster &amp; GPU modules</w:t>
      </w:r>
    </w:p>
    <w:p w:rsidR="00A53CFE" w:rsidRDefault="00A53CFE" w:rsidP="00A53CFE">
      <w:pPr>
        <w:pStyle w:val="berschrift2"/>
      </w:pPr>
      <w:r>
        <w:t>Abstract</w:t>
      </w:r>
    </w:p>
    <w:p w:rsidR="00A53CFE" w:rsidRPr="00A53CFE" w:rsidRDefault="00A53CFE" w:rsidP="00A53CFE">
      <w:proofErr w:type="spellStart"/>
      <w:r>
        <w:t>Jülich</w:t>
      </w:r>
      <w:proofErr w:type="spellEnd"/>
      <w:r>
        <w:t xml:space="preserve"> Supercomputing Centre </w:t>
      </w:r>
      <w:r w:rsidR="00AC171C">
        <w:t xml:space="preserve">(JSC) </w:t>
      </w:r>
      <w:r>
        <w:t xml:space="preserve">has a long tradition to develop </w:t>
      </w:r>
      <w:r w:rsidR="00AC171C">
        <w:t>tools</w:t>
      </w:r>
      <w:r>
        <w:t xml:space="preserve"> for the performance instrumentation, measurement and analysis of HPC applications. </w:t>
      </w:r>
      <w:r w:rsidR="00AC171C">
        <w:t xml:space="preserve">The Score-P instrumentation and measurement infrastructure is a tool suite for profiling and event tracing of HPC applications.  </w:t>
      </w:r>
      <w:r>
        <w:t xml:space="preserve">Scalasca integrates runtime summaries with in-depth studies of concurrent </w:t>
      </w:r>
      <w:proofErr w:type="spellStart"/>
      <w:r>
        <w:t>behaviour</w:t>
      </w:r>
      <w:proofErr w:type="spellEnd"/>
      <w:r>
        <w:t xml:space="preserve"> via event tracing and automated trace analysis. A distinctive feature of Scalasca is its ability to identify and quantify the cost of wait states even for very large processor counts. Using Score-P for instrument</w:t>
      </w:r>
      <w:r w:rsidR="00AC171C">
        <w:t>ation and measurement</w:t>
      </w:r>
      <w:r>
        <w:t xml:space="preserve">, Scalasca helps developers of parallel applications to significantly improve the efficiency and scalability of their codes. Benefits are two-fold, delivering more timely results of scientific computations and more efficiently </w:t>
      </w:r>
      <w:proofErr w:type="spellStart"/>
      <w:r>
        <w:t>utilising</w:t>
      </w:r>
      <w:proofErr w:type="spellEnd"/>
      <w:r>
        <w:t xml:space="preserve"> valuable computing resources. </w:t>
      </w:r>
    </w:p>
    <w:p w:rsidR="0027449E" w:rsidRDefault="00F63260" w:rsidP="0027449E">
      <w:pPr>
        <w:pStyle w:val="berschrift2"/>
        <w:rPr>
          <w:rFonts w:eastAsia="Times New Roman"/>
        </w:rPr>
      </w:pPr>
      <w:r>
        <w:rPr>
          <w:rFonts w:eastAsia="Times New Roman"/>
        </w:rPr>
        <w:t>Introduction</w:t>
      </w:r>
    </w:p>
    <w:p w:rsidR="0027449E" w:rsidRDefault="00A53CFE" w:rsidP="0027449E">
      <w:proofErr w:type="spellStart"/>
      <w:r>
        <w:t>Jülich</w:t>
      </w:r>
      <w:proofErr w:type="spellEnd"/>
      <w:r>
        <w:t xml:space="preserve"> Supercomputing Centre of </w:t>
      </w:r>
      <w:proofErr w:type="spellStart"/>
      <w:r>
        <w:t>Forschungszentrum</w:t>
      </w:r>
      <w:proofErr w:type="spellEnd"/>
      <w:r>
        <w:t xml:space="preserve"> </w:t>
      </w:r>
      <w:proofErr w:type="spellStart"/>
      <w:r>
        <w:t>Jülich</w:t>
      </w:r>
      <w:proofErr w:type="spellEnd"/>
      <w:r>
        <w:t xml:space="preserve"> GmbH has a long tradition to develop software packages for the performance instrumentation, measurement and analysis of HPC applications. </w:t>
      </w:r>
      <w:r w:rsidR="0027449E">
        <w:t xml:space="preserve">The Scalasca and Score-P performance toolsets have been specifically designed to analyze parallel application execution </w:t>
      </w:r>
      <w:proofErr w:type="spellStart"/>
      <w:r w:rsidR="0027449E">
        <w:t>behaviour</w:t>
      </w:r>
      <w:proofErr w:type="spellEnd"/>
      <w:r w:rsidR="0027449E">
        <w:t xml:space="preserve"> on large-scale systems, but which are also well suited for small- and medium-scale HPC platforms. Scalasca</w:t>
      </w:r>
      <w:r>
        <w:t xml:space="preserve"> (</w:t>
      </w:r>
      <w:hyperlink r:id="rId5" w:history="1">
        <w:r w:rsidRPr="00ED4B9A">
          <w:rPr>
            <w:rStyle w:val="Hyperlink"/>
          </w:rPr>
          <w:t>https://scalasca.org</w:t>
        </w:r>
      </w:hyperlink>
      <w:r>
        <w:t>) integrates</w:t>
      </w:r>
      <w:r w:rsidR="0027449E">
        <w:t xml:space="preserve"> runtime summaries with </w:t>
      </w:r>
      <w:r>
        <w:t>in-depth</w:t>
      </w:r>
      <w:r w:rsidR="0027449E">
        <w:t xml:space="preserve"> studies of concurrent </w:t>
      </w:r>
      <w:proofErr w:type="spellStart"/>
      <w:r w:rsidR="0027449E">
        <w:t>behaviour</w:t>
      </w:r>
      <w:proofErr w:type="spellEnd"/>
      <w:r w:rsidR="0027449E">
        <w:t xml:space="preserve"> via event tracing and automated trace analysis. A distinctive feature of Scalasca is its ability to identify and quantify the cost of wait states even for very large processor counts. The Score-P instrumentation and measurement infrastructure </w:t>
      </w:r>
      <w:r>
        <w:t>(</w:t>
      </w:r>
      <w:hyperlink r:id="rId6" w:history="1">
        <w:r w:rsidRPr="00ED4B9A">
          <w:rPr>
            <w:rStyle w:val="Hyperlink"/>
          </w:rPr>
          <w:t>https://score-p.org</w:t>
        </w:r>
      </w:hyperlink>
      <w:r>
        <w:t xml:space="preserve">) </w:t>
      </w:r>
      <w:r w:rsidR="0027449E">
        <w:t xml:space="preserve">is a highly scalable tool suite for profiling, event tracing, and online analysis of HPC applications. Using Score-P for instrumentation and measurement of applications parallelized with MPI and possibly combined with OpenMP or POSIX threads or kernel offload to GPUs, Scalasca helps developers of </w:t>
      </w:r>
      <w:r w:rsidR="0027449E">
        <w:lastRenderedPageBreak/>
        <w:t xml:space="preserve">parallel applications to significantly improve the efficiency and scalability of their codes. Benefits are two-fold, delivering more timely results of scientific computations and more efficiently </w:t>
      </w:r>
      <w:proofErr w:type="spellStart"/>
      <w:r w:rsidR="0027449E">
        <w:t>utilising</w:t>
      </w:r>
      <w:proofErr w:type="spellEnd"/>
      <w:r w:rsidR="0027449E">
        <w:t xml:space="preserve"> valuable computing resources.</w:t>
      </w:r>
    </w:p>
    <w:p w:rsidR="0027449E" w:rsidRDefault="0027449E" w:rsidP="0027449E">
      <w:r>
        <w:t>Assigned compute time was used to develop and test new features and further improve scalability of our tools. This project allocation for JUWELS Cluster/Booster/GPUs was also used to complement project allocations dedicated to other activities:</w:t>
      </w:r>
    </w:p>
    <w:p w:rsidR="0027449E" w:rsidRDefault="0027449E" w:rsidP="000E3E34">
      <w:pPr>
        <w:pStyle w:val="Listenabsatz"/>
        <w:numPr>
          <w:ilvl w:val="0"/>
          <w:numId w:val="5"/>
        </w:numPr>
      </w:pPr>
      <w:r>
        <w:t>the former JSC Cross-sectional Team “Performance Analysis”, to support performance measurement and analysis of applications of JSC users,</w:t>
      </w:r>
    </w:p>
    <w:p w:rsidR="0027449E" w:rsidRDefault="0027449E" w:rsidP="000E3E34">
      <w:pPr>
        <w:pStyle w:val="Listenabsatz"/>
        <w:numPr>
          <w:ilvl w:val="0"/>
          <w:numId w:val="5"/>
        </w:numPr>
      </w:pPr>
      <w:r>
        <w:t xml:space="preserve">the EU H2020 Performance </w:t>
      </w:r>
      <w:proofErr w:type="spellStart"/>
      <w:r>
        <w:t>Optimisation</w:t>
      </w:r>
      <w:proofErr w:type="spellEnd"/>
      <w:r>
        <w:t xml:space="preserve"> and Productivity (POP) Centre of Excellence, for its performance assessment services.</w:t>
      </w:r>
    </w:p>
    <w:p w:rsidR="00F63260" w:rsidRDefault="00F63260" w:rsidP="00F63260">
      <w:pPr>
        <w:pStyle w:val="berschrift2"/>
      </w:pPr>
      <w:r w:rsidRPr="00F63260">
        <w:t>Scientific work accomplished and results obtained</w:t>
      </w:r>
    </w:p>
    <w:p w:rsidR="00F63260" w:rsidRDefault="000473BA" w:rsidP="00F63260">
      <w:pPr>
        <w:pStyle w:val="Listenabsatz"/>
        <w:numPr>
          <w:ilvl w:val="0"/>
          <w:numId w:val="2"/>
        </w:numPr>
      </w:pPr>
      <w:r>
        <w:t>New versions</w:t>
      </w:r>
      <w:r w:rsidR="00F63260">
        <w:t xml:space="preserve"> </w:t>
      </w:r>
      <w:r>
        <w:t xml:space="preserve">of the performance tools </w:t>
      </w:r>
      <w:r w:rsidR="00F63260">
        <w:t xml:space="preserve">Scalasca </w:t>
      </w:r>
      <w:r>
        <w:t>(V</w:t>
      </w:r>
      <w:r w:rsidR="00F63260">
        <w:t>2.6</w:t>
      </w:r>
      <w:r>
        <w:t>)</w:t>
      </w:r>
      <w:r w:rsidR="00F63260">
        <w:t xml:space="preserve">, Cube </w:t>
      </w:r>
      <w:r>
        <w:t>(V</w:t>
      </w:r>
      <w:r w:rsidR="00F63260">
        <w:t>4.6</w:t>
      </w:r>
      <w:r>
        <w:t>)</w:t>
      </w:r>
      <w:r w:rsidR="00F63260">
        <w:t xml:space="preserve"> and Score-P </w:t>
      </w:r>
      <w:r>
        <w:t>(V</w:t>
      </w:r>
      <w:r w:rsidR="00F63260">
        <w:t>7.0 &amp; 7.1</w:t>
      </w:r>
      <w:r>
        <w:t>) were released</w:t>
      </w:r>
      <w:r w:rsidR="00F63260">
        <w:t>, including</w:t>
      </w:r>
      <w:r>
        <w:t xml:space="preserve"> the following enhancements</w:t>
      </w:r>
      <w:r w:rsidR="00F63260">
        <w:t>:</w:t>
      </w:r>
    </w:p>
    <w:p w:rsidR="00F63260" w:rsidRDefault="00F63260" w:rsidP="00F63260">
      <w:pPr>
        <w:pStyle w:val="Listenabsatz"/>
        <w:numPr>
          <w:ilvl w:val="1"/>
          <w:numId w:val="2"/>
        </w:numPr>
      </w:pPr>
      <w:r>
        <w:t>Support for recording OpenCL 2.1/2.2 functions.</w:t>
      </w:r>
    </w:p>
    <w:p w:rsidR="00F63260" w:rsidRDefault="00F63260" w:rsidP="00F63260">
      <w:pPr>
        <w:pStyle w:val="Listenabsatz"/>
        <w:numPr>
          <w:ilvl w:val="1"/>
          <w:numId w:val="2"/>
        </w:numPr>
      </w:pPr>
      <w:r>
        <w:t xml:space="preserve">Support for recording </w:t>
      </w:r>
      <w:proofErr w:type="spellStart"/>
      <w:r>
        <w:t>Kokkos</w:t>
      </w:r>
      <w:proofErr w:type="spellEnd"/>
      <w:r>
        <w:t xml:space="preserve"> events.</w:t>
      </w:r>
    </w:p>
    <w:p w:rsidR="00F63260" w:rsidRDefault="00F63260" w:rsidP="00F63260">
      <w:pPr>
        <w:pStyle w:val="Listenabsatz"/>
        <w:numPr>
          <w:ilvl w:val="1"/>
          <w:numId w:val="2"/>
        </w:numPr>
      </w:pPr>
      <w:r>
        <w:t xml:space="preserve">Support for MPI-3 </w:t>
      </w:r>
      <w:proofErr w:type="spellStart"/>
      <w:r>
        <w:t>Improbe</w:t>
      </w:r>
      <w:proofErr w:type="spellEnd"/>
      <w:r>
        <w:t xml:space="preserve">, </w:t>
      </w:r>
      <w:proofErr w:type="spellStart"/>
      <w:r>
        <w:t>Imrecv</w:t>
      </w:r>
      <w:proofErr w:type="spellEnd"/>
      <w:r>
        <w:t xml:space="preserve">, </w:t>
      </w:r>
      <w:proofErr w:type="spellStart"/>
      <w:r>
        <w:t>Mprobe</w:t>
      </w:r>
      <w:proofErr w:type="spellEnd"/>
      <w:r>
        <w:t xml:space="preserve"> &amp; </w:t>
      </w:r>
      <w:proofErr w:type="spellStart"/>
      <w:r>
        <w:t>Mrecv</w:t>
      </w:r>
      <w:proofErr w:type="spellEnd"/>
      <w:r>
        <w:t xml:space="preserve"> events.</w:t>
      </w:r>
    </w:p>
    <w:p w:rsidR="00F63260" w:rsidRDefault="00F63260" w:rsidP="00F63260">
      <w:pPr>
        <w:pStyle w:val="Listenabsatz"/>
        <w:numPr>
          <w:ilvl w:val="1"/>
          <w:numId w:val="2"/>
        </w:numPr>
      </w:pPr>
      <w:r>
        <w:t>Distinction of GPUs as separate devices in multi-GPU environments.</w:t>
      </w:r>
    </w:p>
    <w:p w:rsidR="00F63260" w:rsidRDefault="00F63260" w:rsidP="00F63260">
      <w:pPr>
        <w:pStyle w:val="Listenabsatz"/>
        <w:numPr>
          <w:ilvl w:val="1"/>
          <w:numId w:val="2"/>
        </w:numPr>
      </w:pPr>
      <w:r>
        <w:t>Added compile-time USR event filtering support for Intel compilers.</w:t>
      </w:r>
    </w:p>
    <w:p w:rsidR="00F63260" w:rsidRDefault="00F63260" w:rsidP="00F63260">
      <w:pPr>
        <w:pStyle w:val="Listenabsatz"/>
        <w:numPr>
          <w:ilvl w:val="1"/>
          <w:numId w:val="2"/>
        </w:numPr>
      </w:pPr>
      <w:r>
        <w:t>Improved management of instrumenting with Nvidia compiler and flushing of CUDA event buffer at measurement finalization.</w:t>
      </w:r>
    </w:p>
    <w:p w:rsidR="00F63260" w:rsidRDefault="00F63260" w:rsidP="00F63260">
      <w:pPr>
        <w:pStyle w:val="Listenabsatz"/>
        <w:numPr>
          <w:ilvl w:val="1"/>
          <w:numId w:val="2"/>
        </w:numPr>
      </w:pPr>
      <w:r>
        <w:t>Improved thread-safety of CUDA event adapter.</w:t>
      </w:r>
    </w:p>
    <w:p w:rsidR="00F63260" w:rsidRDefault="00F63260" w:rsidP="00F63260">
      <w:pPr>
        <w:pStyle w:val="Listenabsatz"/>
        <w:numPr>
          <w:ilvl w:val="1"/>
          <w:numId w:val="2"/>
        </w:numPr>
      </w:pPr>
      <w:r>
        <w:t>Improved handling of POSIX (vectorized) I/O operations.</w:t>
      </w:r>
    </w:p>
    <w:p w:rsidR="00F63260" w:rsidRDefault="00F63260" w:rsidP="00F63260">
      <w:pPr>
        <w:pStyle w:val="Listenabsatz"/>
        <w:numPr>
          <w:ilvl w:val="1"/>
          <w:numId w:val="2"/>
        </w:numPr>
      </w:pPr>
      <w:r>
        <w:t>Extended profile scoring utility with additional sorting modes and ability to generate an initial filter file.</w:t>
      </w:r>
    </w:p>
    <w:p w:rsidR="00F63260" w:rsidRDefault="00F63260" w:rsidP="00F63260">
      <w:pPr>
        <w:pStyle w:val="Listenabsatz"/>
        <w:numPr>
          <w:ilvl w:val="1"/>
          <w:numId w:val="2"/>
        </w:numPr>
      </w:pPr>
      <w:r>
        <w:t>Fix handling of OpenMP tasks outside of parallel regions.</w:t>
      </w:r>
    </w:p>
    <w:p w:rsidR="00F63260" w:rsidRDefault="00F63260" w:rsidP="00F63260">
      <w:pPr>
        <w:pStyle w:val="Listenabsatz"/>
        <w:numPr>
          <w:ilvl w:val="1"/>
          <w:numId w:val="2"/>
        </w:numPr>
      </w:pPr>
      <w:r>
        <w:t xml:space="preserve">Fix handling of MPI </w:t>
      </w:r>
      <w:proofErr w:type="spellStart"/>
      <w:r>
        <w:t>Alltoallw</w:t>
      </w:r>
      <w:proofErr w:type="spellEnd"/>
      <w:r>
        <w:t xml:space="preserve"> &amp; MPI </w:t>
      </w:r>
      <w:proofErr w:type="spellStart"/>
      <w:r>
        <w:t>Ialltoallw</w:t>
      </w:r>
      <w:proofErr w:type="spellEnd"/>
      <w:r>
        <w:t xml:space="preserve"> when using MPI IN PLACE.</w:t>
      </w:r>
    </w:p>
    <w:p w:rsidR="00F63260" w:rsidRDefault="00F63260" w:rsidP="00F63260">
      <w:pPr>
        <w:pStyle w:val="Listenabsatz"/>
        <w:numPr>
          <w:ilvl w:val="1"/>
          <w:numId w:val="2"/>
        </w:numPr>
      </w:pPr>
      <w:r>
        <w:t>Added preset mode for multi-run measurements.</w:t>
      </w:r>
    </w:p>
    <w:p w:rsidR="00F63260" w:rsidRDefault="00F63260" w:rsidP="00F63260">
      <w:pPr>
        <w:pStyle w:val="Listenabsatz"/>
        <w:numPr>
          <w:ilvl w:val="1"/>
          <w:numId w:val="2"/>
        </w:numPr>
      </w:pPr>
      <w:r>
        <w:t>Added support for restricting trace collection to multiple filesystems.</w:t>
      </w:r>
    </w:p>
    <w:p w:rsidR="00F63260" w:rsidRDefault="00F63260" w:rsidP="00F63260">
      <w:pPr>
        <w:pStyle w:val="Listenabsatz"/>
        <w:numPr>
          <w:ilvl w:val="1"/>
          <w:numId w:val="2"/>
        </w:numPr>
      </w:pPr>
      <w:r>
        <w:t xml:space="preserve">Extend trace analysis to “orphaned threads” (from </w:t>
      </w:r>
      <w:proofErr w:type="spellStart"/>
      <w:r>
        <w:t>Pthreads</w:t>
      </w:r>
      <w:proofErr w:type="spellEnd"/>
      <w:r>
        <w:t xml:space="preserve">, C++ threads, </w:t>
      </w:r>
      <w:proofErr w:type="spellStart"/>
      <w:r>
        <w:t>etc</w:t>
      </w:r>
      <w:proofErr w:type="spellEnd"/>
      <w:r>
        <w:t>).</w:t>
      </w:r>
    </w:p>
    <w:p w:rsidR="00F63260" w:rsidRDefault="00F63260" w:rsidP="00F63260">
      <w:pPr>
        <w:pStyle w:val="Listenabsatz"/>
        <w:numPr>
          <w:ilvl w:val="1"/>
          <w:numId w:val="2"/>
        </w:numPr>
      </w:pPr>
      <w:r>
        <w:t>Improved consistency of wait-state and root-cause analyses.</w:t>
      </w:r>
    </w:p>
    <w:p w:rsidR="00F63260" w:rsidRDefault="00F63260" w:rsidP="00F63260">
      <w:pPr>
        <w:pStyle w:val="Listenabsatz"/>
        <w:numPr>
          <w:ilvl w:val="1"/>
          <w:numId w:val="2"/>
        </w:numPr>
      </w:pPr>
      <w:r>
        <w:t xml:space="preserve">Additional metric hierarchies created for CUDA, OpenCL &amp; </w:t>
      </w:r>
      <w:proofErr w:type="spellStart"/>
      <w:r>
        <w:t>OpenACC</w:t>
      </w:r>
      <w:proofErr w:type="spellEnd"/>
      <w:r>
        <w:t>.</w:t>
      </w:r>
    </w:p>
    <w:p w:rsidR="00F63260" w:rsidRDefault="00F63260" w:rsidP="00F63260">
      <w:pPr>
        <w:pStyle w:val="Listenabsatz"/>
        <w:numPr>
          <w:ilvl w:val="1"/>
          <w:numId w:val="2"/>
        </w:numPr>
      </w:pPr>
      <w:r>
        <w:t xml:space="preserve">GUI Advisor plugin extended to support hybrid </w:t>
      </w:r>
      <w:proofErr w:type="spellStart"/>
      <w:r>
        <w:t>MPI+OpenMP</w:t>
      </w:r>
      <w:proofErr w:type="spellEnd"/>
      <w:r>
        <w:t xml:space="preserve"> metrics.</w:t>
      </w:r>
    </w:p>
    <w:p w:rsidR="00F63260" w:rsidRDefault="00F63260" w:rsidP="00F63260">
      <w:pPr>
        <w:pStyle w:val="Listenabsatz"/>
        <w:numPr>
          <w:ilvl w:val="1"/>
          <w:numId w:val="2"/>
        </w:numPr>
      </w:pPr>
      <w:r>
        <w:t>Added task view to call-tree panel of GUI.</w:t>
      </w:r>
    </w:p>
    <w:p w:rsidR="00F63260" w:rsidRDefault="00F63260" w:rsidP="00F63260">
      <w:pPr>
        <w:pStyle w:val="Listenabsatz"/>
        <w:numPr>
          <w:ilvl w:val="1"/>
          <w:numId w:val="2"/>
        </w:numPr>
      </w:pPr>
      <w:r>
        <w:t>Extended information display of all tree attributes.</w:t>
      </w:r>
    </w:p>
    <w:p w:rsidR="00F63260" w:rsidRDefault="00F63260" w:rsidP="00F63260">
      <w:pPr>
        <w:pStyle w:val="Listenabsatz"/>
        <w:numPr>
          <w:ilvl w:val="1"/>
          <w:numId w:val="2"/>
        </w:numPr>
      </w:pPr>
      <w:r>
        <w:t>Extended functionality of metric editor.</w:t>
      </w:r>
    </w:p>
    <w:p w:rsidR="00F63260" w:rsidRDefault="00F63260" w:rsidP="00F63260">
      <w:pPr>
        <w:pStyle w:val="Listenabsatz"/>
        <w:numPr>
          <w:ilvl w:val="1"/>
          <w:numId w:val="2"/>
        </w:numPr>
      </w:pPr>
      <w:r>
        <w:t>Preliminary CUBE GUI client–server implementation.</w:t>
      </w:r>
    </w:p>
    <w:p w:rsidR="00F63260" w:rsidRDefault="00F63260" w:rsidP="00F63260">
      <w:pPr>
        <w:pStyle w:val="Listenabsatz"/>
        <w:numPr>
          <w:ilvl w:val="0"/>
          <w:numId w:val="2"/>
        </w:numPr>
      </w:pPr>
      <w:r>
        <w:t>Application engagement</w:t>
      </w:r>
    </w:p>
    <w:p w:rsidR="00F63260" w:rsidRDefault="00F63260" w:rsidP="00F63260">
      <w:pPr>
        <w:pStyle w:val="Listenabsatz"/>
        <w:numPr>
          <w:ilvl w:val="1"/>
          <w:numId w:val="2"/>
        </w:numPr>
      </w:pPr>
      <w:r>
        <w:t xml:space="preserve">Large-scale performance analysis of multi-GPU nodes with </w:t>
      </w:r>
      <w:proofErr w:type="spellStart"/>
      <w:r>
        <w:t>SPEChpc</w:t>
      </w:r>
      <w:proofErr w:type="spellEnd"/>
      <w:r>
        <w:t xml:space="preserve"> 2021 benchmark codes using </w:t>
      </w:r>
      <w:proofErr w:type="spellStart"/>
      <w:r>
        <w:t>OpenACC</w:t>
      </w:r>
      <w:proofErr w:type="spellEnd"/>
      <w:r>
        <w:t xml:space="preserve"> and OpenMP target offload.</w:t>
      </w:r>
    </w:p>
    <w:p w:rsidR="00F63260" w:rsidRDefault="00F63260" w:rsidP="00F63260">
      <w:pPr>
        <w:pStyle w:val="Listenabsatz"/>
        <w:numPr>
          <w:ilvl w:val="1"/>
          <w:numId w:val="2"/>
        </w:numPr>
      </w:pPr>
      <w:r>
        <w:t xml:space="preserve">Large-scale performance assessment of multi-GPU nodes with new GPU-enabled versions of Nek5000 CFD application using </w:t>
      </w:r>
      <w:proofErr w:type="spellStart"/>
      <w:r>
        <w:t>OpenACC</w:t>
      </w:r>
      <w:proofErr w:type="spellEnd"/>
      <w:r>
        <w:t xml:space="preserve"> and OpenMP target offload combined with CUDA.</w:t>
      </w:r>
    </w:p>
    <w:p w:rsidR="00F63260" w:rsidRDefault="00F63260" w:rsidP="00F63260">
      <w:pPr>
        <w:pStyle w:val="Listenabsatz"/>
        <w:numPr>
          <w:ilvl w:val="1"/>
          <w:numId w:val="2"/>
        </w:numPr>
      </w:pPr>
      <w:r>
        <w:lastRenderedPageBreak/>
        <w:t>Preparatory porting, testing and performance analysis of other multi-GPU benchmarks and applications.</w:t>
      </w:r>
    </w:p>
    <w:p w:rsidR="00F63260" w:rsidRDefault="00F63260" w:rsidP="00F63260">
      <w:pPr>
        <w:pStyle w:val="berschrift2"/>
      </w:pPr>
      <w:r w:rsidRPr="00F63260">
        <w:t>Realization of the project</w:t>
      </w:r>
    </w:p>
    <w:p w:rsidR="00F63260" w:rsidRDefault="00F63260" w:rsidP="00F63260">
      <w:r>
        <w:t xml:space="preserve">Our group </w:t>
      </w:r>
      <w:proofErr w:type="spellStart"/>
      <w:r>
        <w:t>organised</w:t>
      </w:r>
      <w:proofErr w:type="spellEnd"/>
      <w:r>
        <w:t xml:space="preserve"> several performance analysis and tuning workshops, and assisted with porting and scaling workshops using JUWELS Booster, all held virtually during the reporting period </w:t>
      </w:r>
      <w:r w:rsidR="000473BA">
        <w:t xml:space="preserve">(2021-2022) </w:t>
      </w:r>
      <w:r>
        <w:t>due to pandemic restrictions. Separate project allocations (including those of the participants) could be used for these activities. The Scalasca project allocation was expected to be used for follow-up assessments and investigation of scaling issues (particularly with JUWELS</w:t>
      </w:r>
      <w:r w:rsidR="000473BA">
        <w:t xml:space="preserve"> </w:t>
      </w:r>
      <w:r>
        <w:t xml:space="preserve">Booster), however, due to both the immaturity of the applications and their very limited scalability at the time this was not necessary. </w:t>
      </w:r>
      <w:r w:rsidR="000473BA">
        <w:t>Consequently</w:t>
      </w:r>
      <w:r>
        <w:t>, relatively little use of the project allocation was required.</w:t>
      </w:r>
    </w:p>
    <w:p w:rsidR="00F63260" w:rsidRDefault="00F63260" w:rsidP="00F63260">
      <w:r>
        <w:t xml:space="preserve">The Nek5000 CFD code from KTH was ported and first measured during the JUWELS-Booster Porting Workshop. The code uses </w:t>
      </w:r>
      <w:proofErr w:type="spellStart"/>
      <w:r>
        <w:t>OpenACC</w:t>
      </w:r>
      <w:proofErr w:type="spellEnd"/>
      <w:r>
        <w:t xml:space="preserve"> and OpenMP offloading combined with CUDA, and these versions were compared and </w:t>
      </w:r>
      <w:proofErr w:type="spellStart"/>
      <w:r>
        <w:t>analysed</w:t>
      </w:r>
      <w:proofErr w:type="spellEnd"/>
      <w:r>
        <w:t xml:space="preserve"> to identify poor MPI scaling performance with 512 GPUs. On-going work is examining new versions using the </w:t>
      </w:r>
      <w:proofErr w:type="spellStart"/>
      <w:r>
        <w:t>Hypre</w:t>
      </w:r>
      <w:proofErr w:type="spellEnd"/>
      <w:r>
        <w:t xml:space="preserve"> preconditioner. Preparatory porting was done of the Hypersonic Task-based Research (HTR) Solver from TUM for hypersonic aerothermodynamics, which is written in Regent and using Legion with OpenMP for kernel offload to multi-GPU nodes, both of JUWELS GPU and JUWELS-Booster.</w:t>
      </w:r>
    </w:p>
    <w:p w:rsidR="00F63260" w:rsidRDefault="00F63260" w:rsidP="00F63260">
      <w:r>
        <w:t>A noise-resilient performance modeling approach for applications running on heterogeneous systems using accelerator devices was prepared on JUWELS-Booster and JUWELS GPU with a deep neural network (DNN) trained on the CIFAR-100 image recognition dataset.</w:t>
      </w:r>
    </w:p>
    <w:p w:rsidR="00F63260" w:rsidRDefault="00F63260" w:rsidP="00F63260">
      <w:r>
        <w:t>From a collaboration with HZDR/ORNL/</w:t>
      </w:r>
      <w:proofErr w:type="spellStart"/>
      <w:r>
        <w:t>U.Delaware</w:t>
      </w:r>
      <w:proofErr w:type="spellEnd"/>
      <w:r>
        <w:t xml:space="preserve">, the new suite of </w:t>
      </w:r>
      <w:proofErr w:type="spellStart"/>
      <w:r>
        <w:t>SPEChpc</w:t>
      </w:r>
      <w:proofErr w:type="spellEnd"/>
      <w:r>
        <w:t xml:space="preserve"> 2021 benchmark codes and additional applications using MPI and either </w:t>
      </w:r>
      <w:proofErr w:type="spellStart"/>
      <w:r>
        <w:t>OpenACC</w:t>
      </w:r>
      <w:proofErr w:type="spellEnd"/>
      <w:r>
        <w:t xml:space="preserve"> or OpenMP target offload to multi-GPU nodes were executed and </w:t>
      </w:r>
      <w:proofErr w:type="spellStart"/>
      <w:r>
        <w:t>analysed</w:t>
      </w:r>
      <w:proofErr w:type="spellEnd"/>
      <w:r>
        <w:t xml:space="preserve"> on JUWELS-Booster and compared to other HPC systems with Nvidia V100 and AMD MI100 GPUs [SPEChpc2021].</w:t>
      </w:r>
    </w:p>
    <w:p w:rsidR="00F63260" w:rsidRDefault="00F63260" w:rsidP="00F63260">
      <w:pPr>
        <w:pStyle w:val="berschrift2"/>
      </w:pPr>
      <w:r w:rsidRPr="00F63260">
        <w:t>Publications with the appropriate acknowledgement</w:t>
      </w:r>
    </w:p>
    <w:p w:rsidR="00F63260" w:rsidRDefault="00F63260" w:rsidP="00F63260">
      <w:pPr>
        <w:ind w:left="720" w:hanging="720"/>
      </w:pPr>
      <w:r w:rsidRPr="00F63260">
        <w:rPr>
          <w:b/>
        </w:rPr>
        <w:t>[SPEChpc2021]</w:t>
      </w:r>
      <w:r>
        <w:t xml:space="preserve"> Holger Brunst, Sunita Chandrasekaran, Florina M. </w:t>
      </w:r>
      <w:proofErr w:type="spellStart"/>
      <w:r>
        <w:t>Ciorba</w:t>
      </w:r>
      <w:proofErr w:type="spellEnd"/>
      <w:r>
        <w:t xml:space="preserve">, Nick Hagerty, </w:t>
      </w:r>
      <w:r w:rsidRPr="00F63260">
        <w:t>Robert Henschel, Guido Juckeland, Junjie Li, Veronica G.</w:t>
      </w:r>
      <w:r>
        <w:t xml:space="preserve"> </w:t>
      </w:r>
      <w:proofErr w:type="spellStart"/>
      <w:r>
        <w:t>Melesse</w:t>
      </w:r>
      <w:proofErr w:type="spellEnd"/>
      <w:r>
        <w:t xml:space="preserve"> Vergara, </w:t>
      </w:r>
      <w:proofErr w:type="spellStart"/>
      <w:r>
        <w:t>SandraWienke</w:t>
      </w:r>
      <w:proofErr w:type="spellEnd"/>
      <w:r>
        <w:t xml:space="preserve">, and Miguel Zavala, “First experiences in performance benchmarking with the new </w:t>
      </w:r>
      <w:proofErr w:type="spellStart"/>
      <w:r>
        <w:t>SPEChpc</w:t>
      </w:r>
      <w:proofErr w:type="spellEnd"/>
      <w:r>
        <w:t xml:space="preserve"> 2021 suites”, in: </w:t>
      </w:r>
      <w:proofErr w:type="spellStart"/>
      <w:r>
        <w:t>Procceedings</w:t>
      </w:r>
      <w:proofErr w:type="spellEnd"/>
      <w:r>
        <w:t xml:space="preserve"> of the 2022 IEEE/ACM 22nd International Symposium on Cluster, Cloud and Internet Computing (</w:t>
      </w:r>
      <w:proofErr w:type="spellStart"/>
      <w:r>
        <w:t>CCGrid</w:t>
      </w:r>
      <w:proofErr w:type="spellEnd"/>
      <w:r>
        <w:t>), 2022.</w:t>
      </w:r>
      <w:r w:rsidR="00D75DA1">
        <w:t xml:space="preserve"> </w:t>
      </w:r>
      <w:hyperlink r:id="rId7" w:history="1">
        <w:r w:rsidR="00D75DA1" w:rsidRPr="00ED4B9A">
          <w:rPr>
            <w:rStyle w:val="Hyperlink"/>
          </w:rPr>
          <w:t>https://doi.org/10.1109/CCGrid54584.2022.00077</w:t>
        </w:r>
      </w:hyperlink>
      <w:r w:rsidR="00D75DA1">
        <w:t xml:space="preserve"> </w:t>
      </w:r>
    </w:p>
    <w:p w:rsidR="00F63260" w:rsidRDefault="00F63260" w:rsidP="00F63260">
      <w:pPr>
        <w:pStyle w:val="berschrift2"/>
      </w:pPr>
      <w:r w:rsidRPr="00F63260">
        <w:t>Additional references</w:t>
      </w:r>
    </w:p>
    <w:p w:rsidR="000E3E34" w:rsidRDefault="000E3E34" w:rsidP="000E3E34">
      <w:pPr>
        <w:pStyle w:val="Listenabsatz"/>
        <w:numPr>
          <w:ilvl w:val="0"/>
          <w:numId w:val="3"/>
        </w:numPr>
      </w:pPr>
      <w:r>
        <w:t xml:space="preserve">Holger Brunst, Sunita Chandrasekaran, Florina M. </w:t>
      </w:r>
      <w:proofErr w:type="spellStart"/>
      <w:r>
        <w:t>Ciorba</w:t>
      </w:r>
      <w:proofErr w:type="spellEnd"/>
      <w:r>
        <w:t xml:space="preserve">, Nick Hagerty, Robert Henschel, Guido Juckeland, Junjie Li, Veronica G. Melesse Vergara, Sandra Wienke, and Miguel Zavala, “First experiences in performance benchmarking with the new </w:t>
      </w:r>
      <w:proofErr w:type="spellStart"/>
      <w:r>
        <w:t>SPEChpc</w:t>
      </w:r>
      <w:proofErr w:type="spellEnd"/>
      <w:r>
        <w:t xml:space="preserve"> 2021 suites”, 2022. </w:t>
      </w:r>
      <w:hyperlink r:id="rId8" w:history="1">
        <w:r w:rsidRPr="00ED4B9A">
          <w:rPr>
            <w:rStyle w:val="Hyperlink"/>
          </w:rPr>
          <w:t>https://doi.org/10.48550/arXiv.2203.06751</w:t>
        </w:r>
      </w:hyperlink>
      <w:r>
        <w:t xml:space="preserve"> </w:t>
      </w:r>
    </w:p>
    <w:p w:rsidR="000E3E34" w:rsidRPr="000E3E34" w:rsidRDefault="000E3E34" w:rsidP="000E3E34">
      <w:pPr>
        <w:pStyle w:val="Listenabsatz"/>
        <w:numPr>
          <w:ilvl w:val="0"/>
          <w:numId w:val="3"/>
        </w:numPr>
        <w:rPr>
          <w:lang w:val="de-DE"/>
        </w:rPr>
      </w:pPr>
      <w:r>
        <w:t xml:space="preserve">Holger Brunst, Sunita Chandrasekaran, Florina M. </w:t>
      </w:r>
      <w:proofErr w:type="spellStart"/>
      <w:r>
        <w:t>Ciorba</w:t>
      </w:r>
      <w:proofErr w:type="spellEnd"/>
      <w:r>
        <w:t xml:space="preserve">, Nick Hagerty, Robert Henschel, Guido Juckeland, Junjie Li, Veronica G. Melesse Vergara, Sandra Wienke, and Miguel Zavala, “First Experiences in Performance Benchmarking with the New </w:t>
      </w:r>
      <w:proofErr w:type="spellStart"/>
      <w:r>
        <w:t>SPEChpc</w:t>
      </w:r>
      <w:proofErr w:type="spellEnd"/>
      <w:r>
        <w:t xml:space="preserve"> 2021 Suites - Measurement Data”, </w:t>
      </w:r>
      <w:proofErr w:type="spellStart"/>
      <w:r>
        <w:t>Zenodo</w:t>
      </w:r>
      <w:proofErr w:type="spellEnd"/>
      <w:r>
        <w:t xml:space="preserve">, Oct. 2021. </w:t>
      </w:r>
      <w:hyperlink r:id="rId9" w:history="1">
        <w:r w:rsidRPr="000E3E34">
          <w:rPr>
            <w:rStyle w:val="Hyperlink"/>
            <w:lang w:val="de-DE"/>
          </w:rPr>
          <w:t>https://zenodo.org/record/5753669</w:t>
        </w:r>
      </w:hyperlink>
      <w:r w:rsidRPr="000E3E34">
        <w:rPr>
          <w:lang w:val="de-DE"/>
        </w:rPr>
        <w:t xml:space="preserve"> </w:t>
      </w:r>
    </w:p>
    <w:p w:rsidR="00F63260" w:rsidRDefault="000E3E34" w:rsidP="00D75DA1">
      <w:pPr>
        <w:pStyle w:val="Listenabsatz"/>
        <w:numPr>
          <w:ilvl w:val="0"/>
          <w:numId w:val="3"/>
        </w:numPr>
      </w:pPr>
      <w:r w:rsidRPr="000E3E34">
        <w:lastRenderedPageBreak/>
        <w:t xml:space="preserve">Marcus Ritter, Alexander </w:t>
      </w:r>
      <w:proofErr w:type="spellStart"/>
      <w:r w:rsidRPr="000E3E34">
        <w:t>Geiß</w:t>
      </w:r>
      <w:proofErr w:type="spellEnd"/>
      <w:r w:rsidRPr="000E3E34">
        <w:t xml:space="preserve">, </w:t>
      </w:r>
      <w:proofErr w:type="spellStart"/>
      <w:r w:rsidRPr="000E3E34">
        <w:t>JohannesWehrstein</w:t>
      </w:r>
      <w:proofErr w:type="spellEnd"/>
      <w:r w:rsidRPr="000E3E34">
        <w:t xml:space="preserve">, </w:t>
      </w:r>
      <w:proofErr w:type="spellStart"/>
      <w:r w:rsidRPr="000E3E34">
        <w:t>Alexandru</w:t>
      </w:r>
      <w:proofErr w:type="spellEnd"/>
      <w:r w:rsidRPr="000E3E34">
        <w:t xml:space="preserve"> </w:t>
      </w:r>
      <w:proofErr w:type="spellStart"/>
      <w:r w:rsidRPr="000E3E34">
        <w:t>Calotoiu</w:t>
      </w:r>
      <w:proofErr w:type="spellEnd"/>
      <w:r w:rsidRPr="000E3E34">
        <w:t xml:space="preserve">, Thorsten Reimann, </w:t>
      </w:r>
      <w:r>
        <w:t>Torsten Hoefler, and Felix Wolf, Noise-Resilient Empirical Performance Modeling with</w:t>
      </w:r>
      <w:r w:rsidRPr="000E3E34">
        <w:t xml:space="preserve"> </w:t>
      </w:r>
      <w:r>
        <w:t>Deep Neural Networks, in: Proc. of the 35th IEEE International Parallel and Distributed Processing Symposium (IPDPS), Portland, Oregon, USA, pp. 23–34, IEEE. May 2021.</w:t>
      </w:r>
      <w:r w:rsidR="00D75DA1">
        <w:t xml:space="preserve"> </w:t>
      </w:r>
      <w:hyperlink r:id="rId10" w:history="1">
        <w:r w:rsidR="00D75DA1" w:rsidRPr="00ED4B9A">
          <w:rPr>
            <w:rStyle w:val="Hyperlink"/>
          </w:rPr>
          <w:t>https://doi.org/10.1109/IPDPS49936.2021.00012</w:t>
        </w:r>
      </w:hyperlink>
      <w:r w:rsidR="00D75DA1">
        <w:t xml:space="preserve"> </w:t>
      </w:r>
    </w:p>
    <w:p w:rsidR="000E3E34" w:rsidRDefault="000E3E34" w:rsidP="000E3E34">
      <w:pPr>
        <w:pStyle w:val="berschrift2"/>
      </w:pPr>
      <w:r>
        <w:t>Suitable Graphics</w:t>
      </w:r>
    </w:p>
    <w:p w:rsidR="004C652C" w:rsidRDefault="0067466B" w:rsidP="004C652C">
      <w:pPr>
        <w:keepNext/>
      </w:pPr>
      <w:r w:rsidRPr="0067466B">
        <w:rPr>
          <w:noProof/>
        </w:rPr>
        <w:drawing>
          <wp:inline distT="0" distB="0" distL="0" distR="0" wp14:anchorId="0D95EE20" wp14:editId="751B8A7A">
            <wp:extent cx="5943600" cy="3945890"/>
            <wp:effectExtent l="0" t="0" r="0" b="0"/>
            <wp:docPr id="12292" name="Picture 3" descr="seaice-1-latese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3" descr="seaice-1-latesender.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45890"/>
                    </a:xfrm>
                    <a:prstGeom prst="rect">
                      <a:avLst/>
                    </a:prstGeom>
                    <a:noFill/>
                    <a:ln>
                      <a:noFill/>
                    </a:ln>
                    <a:extLst/>
                  </pic:spPr>
                </pic:pic>
              </a:graphicData>
            </a:graphic>
          </wp:inline>
        </w:drawing>
      </w:r>
    </w:p>
    <w:p w:rsidR="0067466B" w:rsidRPr="00F63260" w:rsidRDefault="004C652C" w:rsidP="004C652C">
      <w:pPr>
        <w:pStyle w:val="Beschriftung"/>
      </w:pPr>
      <w:r>
        <w:t xml:space="preserve">Figure </w:t>
      </w:r>
      <w:r w:rsidR="00043EF5">
        <w:fldChar w:fldCharType="begin"/>
      </w:r>
      <w:r w:rsidR="00043EF5">
        <w:instrText xml:space="preserve"> SEQ Figure \* ARABIC </w:instrText>
      </w:r>
      <w:r w:rsidR="00043EF5">
        <w:fldChar w:fldCharType="separate"/>
      </w:r>
      <w:r>
        <w:rPr>
          <w:noProof/>
        </w:rPr>
        <w:t>1</w:t>
      </w:r>
      <w:r w:rsidR="00043EF5">
        <w:rPr>
          <w:noProof/>
        </w:rPr>
        <w:fldChar w:fldCharType="end"/>
      </w:r>
      <w:r>
        <w:t>: Typical result display from a Scalasca trace analysis. Left pane shows the metrics measured and calculated. Middle pane shows the distribution over the call tree of the application of the selected value in the metrics pane (blue bar). Right pane shows distribution of the selected call-path over the processes used for the measurement. I</w:t>
      </w:r>
      <w:r w:rsidR="00566A7D">
        <w:t>n the example shown, this is done via a virtual MPI 2D Cartesian topology used by the application.</w:t>
      </w:r>
    </w:p>
    <w:sectPr w:rsidR="0067466B" w:rsidRPr="00F632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774B6"/>
    <w:multiLevelType w:val="multilevel"/>
    <w:tmpl w:val="8C10A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A7D3F"/>
    <w:multiLevelType w:val="hybridMultilevel"/>
    <w:tmpl w:val="5F6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E3D0D"/>
    <w:multiLevelType w:val="hybridMultilevel"/>
    <w:tmpl w:val="6716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C61BE"/>
    <w:multiLevelType w:val="hybridMultilevel"/>
    <w:tmpl w:val="F6441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C1BAB"/>
    <w:multiLevelType w:val="hybridMultilevel"/>
    <w:tmpl w:val="C1603164"/>
    <w:lvl w:ilvl="0" w:tplc="4F828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4C"/>
    <w:rsid w:val="00043EF5"/>
    <w:rsid w:val="000473BA"/>
    <w:rsid w:val="00094B4C"/>
    <w:rsid w:val="000E3E34"/>
    <w:rsid w:val="0027449E"/>
    <w:rsid w:val="004C652C"/>
    <w:rsid w:val="00566A7D"/>
    <w:rsid w:val="00645A4C"/>
    <w:rsid w:val="0067466B"/>
    <w:rsid w:val="007E653D"/>
    <w:rsid w:val="00901A29"/>
    <w:rsid w:val="00A53CFE"/>
    <w:rsid w:val="00AC171C"/>
    <w:rsid w:val="00D75DA1"/>
    <w:rsid w:val="00F6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D672A-AC16-4CB9-BE24-2F6CB9F8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744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7449E"/>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F63260"/>
    <w:pPr>
      <w:ind w:left="720"/>
      <w:contextualSpacing/>
    </w:pPr>
  </w:style>
  <w:style w:type="character" w:styleId="Hyperlink">
    <w:name w:val="Hyperlink"/>
    <w:basedOn w:val="Absatz-Standardschriftart"/>
    <w:uiPriority w:val="99"/>
    <w:unhideWhenUsed/>
    <w:rsid w:val="000E3E34"/>
    <w:rPr>
      <w:color w:val="0563C1" w:themeColor="hyperlink"/>
      <w:u w:val="single"/>
    </w:rPr>
  </w:style>
  <w:style w:type="character" w:styleId="BesuchterLink">
    <w:name w:val="FollowedHyperlink"/>
    <w:basedOn w:val="Absatz-Standardschriftart"/>
    <w:uiPriority w:val="99"/>
    <w:semiHidden/>
    <w:unhideWhenUsed/>
    <w:rsid w:val="00A53CFE"/>
    <w:rPr>
      <w:color w:val="954F72" w:themeColor="followedHyperlink"/>
      <w:u w:val="single"/>
    </w:rPr>
  </w:style>
  <w:style w:type="paragraph" w:styleId="Titel">
    <w:name w:val="Title"/>
    <w:basedOn w:val="Standard"/>
    <w:next w:val="Standard"/>
    <w:link w:val="TitelZchn"/>
    <w:uiPriority w:val="10"/>
    <w:qFormat/>
    <w:rsid w:val="00A53C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3CFE"/>
    <w:rPr>
      <w:rFonts w:asciiTheme="majorHAnsi" w:eastAsiaTheme="majorEastAsia" w:hAnsiTheme="majorHAnsi" w:cstheme="majorBidi"/>
      <w:spacing w:val="-10"/>
      <w:kern w:val="28"/>
      <w:sz w:val="56"/>
      <w:szCs w:val="56"/>
    </w:rPr>
  </w:style>
  <w:style w:type="paragraph" w:styleId="Beschriftung">
    <w:name w:val="caption"/>
    <w:basedOn w:val="Standard"/>
    <w:next w:val="Standard"/>
    <w:uiPriority w:val="35"/>
    <w:unhideWhenUsed/>
    <w:qFormat/>
    <w:rsid w:val="004C652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550/arXiv.2203.067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09/CCGrid54584.2022.000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ore-p.org" TargetMode="External"/><Relationship Id="rId11" Type="http://schemas.openxmlformats.org/officeDocument/2006/relationships/image" Target="media/image1.png"/><Relationship Id="rId5" Type="http://schemas.openxmlformats.org/officeDocument/2006/relationships/hyperlink" Target="https://scalasca.org" TargetMode="External"/><Relationship Id="rId10" Type="http://schemas.openxmlformats.org/officeDocument/2006/relationships/hyperlink" Target="https://doi.org/10.1109/IPDPS49936.2021.00012" TargetMode="External"/><Relationship Id="rId4" Type="http://schemas.openxmlformats.org/officeDocument/2006/relationships/webSettings" Target="webSettings.xml"/><Relationship Id="rId9" Type="http://schemas.openxmlformats.org/officeDocument/2006/relationships/hyperlink" Target="https://zenodo.org/record/5753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8361</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Mohr</dc:creator>
  <cp:keywords/>
  <dc:description/>
  <cp:lastModifiedBy>Chatterjee, Chaya</cp:lastModifiedBy>
  <cp:revision>2</cp:revision>
  <dcterms:created xsi:type="dcterms:W3CDTF">2023-05-16T14:39:00Z</dcterms:created>
  <dcterms:modified xsi:type="dcterms:W3CDTF">2023-05-16T14:39:00Z</dcterms:modified>
</cp:coreProperties>
</file>